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5C07E61A" w14:textId="32043491" w:rsidR="00EF3BAD" w:rsidRPr="00F91926" w:rsidRDefault="00FB1149" w:rsidP="00EF3BAD">
      <w:pPr>
        <w:ind w:left="-567" w:right="-738"/>
        <w:jc w:val="center"/>
        <w:rPr>
          <w:rFonts w:ascii="Book Antiqua" w:hAnsi="Book Antiqua" w:cs="Arial"/>
          <w:b/>
          <w:bCs/>
          <w:color w:val="365F91" w:themeColor="accent1" w:themeShade="BF"/>
          <w:sz w:val="22"/>
          <w:szCs w:val="22"/>
        </w:rPr>
      </w:pPr>
      <w:r w:rsidRPr="00FB1149">
        <w:rPr>
          <w:rFonts w:ascii="Book Antiqua" w:hAnsi="Book Antiqua" w:cs="Arial"/>
          <w:b/>
          <w:bCs/>
          <w:color w:val="365F91" w:themeColor="accent1" w:themeShade="BF"/>
          <w:sz w:val="22"/>
          <w:szCs w:val="22"/>
        </w:rPr>
        <w:t xml:space="preserve">Appointment of Independent Engineer for “Transmission scheme for evacuation of power from </w:t>
      </w:r>
      <w:proofErr w:type="spellStart"/>
      <w:r w:rsidRPr="00FB1149">
        <w:rPr>
          <w:rFonts w:ascii="Book Antiqua" w:hAnsi="Book Antiqua" w:cs="Arial"/>
          <w:b/>
          <w:bCs/>
          <w:color w:val="365F91" w:themeColor="accent1" w:themeShade="BF"/>
          <w:sz w:val="22"/>
          <w:szCs w:val="22"/>
        </w:rPr>
        <w:t>Ratle</w:t>
      </w:r>
      <w:proofErr w:type="spellEnd"/>
      <w:r w:rsidRPr="00FB1149">
        <w:rPr>
          <w:rFonts w:ascii="Book Antiqua" w:hAnsi="Book Antiqua" w:cs="Arial"/>
          <w:b/>
          <w:bCs/>
          <w:color w:val="365F91" w:themeColor="accent1" w:themeShade="BF"/>
          <w:sz w:val="22"/>
          <w:szCs w:val="22"/>
        </w:rPr>
        <w:t xml:space="preserve"> HEP (850 MW) &amp; Kiru HEP (624 MW): Part-A”</w:t>
      </w:r>
    </w:p>
    <w:p w14:paraId="36135FCB" w14:textId="77777777" w:rsidR="00EF3BAD" w:rsidRPr="00F91926" w:rsidRDefault="00EF3BAD" w:rsidP="00EF3BAD">
      <w:pPr>
        <w:jc w:val="center"/>
        <w:rPr>
          <w:rFonts w:ascii="Book Antiqua" w:hAnsi="Book Antiqua" w:cs="Arial"/>
          <w:b/>
          <w:bCs/>
          <w:color w:val="365F91" w:themeColor="accent1" w:themeShade="BF"/>
          <w:sz w:val="22"/>
          <w:szCs w:val="22"/>
        </w:rPr>
      </w:pPr>
    </w:p>
    <w:p w14:paraId="533E70C2" w14:textId="2FB0C1A0" w:rsidR="00AB1885" w:rsidRPr="006D16E4" w:rsidRDefault="00EF3BAD" w:rsidP="00EF3BA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3053B0" w:rsidRPr="003053B0">
        <w:rPr>
          <w:rFonts w:ascii="Book Antiqua" w:hAnsi="Book Antiqua" w:cs="Arial"/>
          <w:b/>
          <w:bCs/>
          <w:color w:val="365F91" w:themeColor="accent1" w:themeShade="BF"/>
          <w:sz w:val="22"/>
          <w:szCs w:val="22"/>
        </w:rPr>
        <w:t>CTUIL/IE/2025-26/75</w:t>
      </w:r>
      <w:r w:rsidR="00E30C26">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0A18D03F"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796557">
              <w:rPr>
                <w:rFonts w:ascii="Book Antiqua" w:hAnsi="Book Antiqua"/>
                <w:sz w:val="24"/>
                <w:szCs w:val="24"/>
                <w:lang w:val="en-GB"/>
              </w:rPr>
              <w:t>Rahul</w:t>
            </w:r>
            <w:r w:rsidR="00A8250F">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Pr="00240509">
              <w:rPr>
                <w:rFonts w:ascii="Book Antiqua" w:hAnsi="Book Antiqua"/>
                <w:sz w:val="24"/>
                <w:szCs w:val="24"/>
                <w:lang w:val="en-GB"/>
              </w:rPr>
              <w:t xml:space="preserve"> (</w:t>
            </w:r>
            <w:r w:rsidR="00796557">
              <w:rPr>
                <w:rFonts w:ascii="Book Antiqua" w:hAnsi="Book Antiqua"/>
                <w:sz w:val="24"/>
                <w:szCs w:val="24"/>
                <w:lang w:val="en-GB"/>
              </w:rPr>
              <w:t>Engineer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1DAE8E5F"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B7AD4" w:rsidRPr="00240509">
              <w:rPr>
                <w:rFonts w:ascii="Book Antiqua" w:hAnsi="Book Antiqua"/>
                <w:sz w:val="24"/>
                <w:szCs w:val="24"/>
                <w:lang w:val="en-GB"/>
              </w:rPr>
              <w:t>9205472328</w:t>
            </w:r>
            <w:r w:rsidR="00A8250F">
              <w:rPr>
                <w:rFonts w:ascii="Book Antiqua" w:hAnsi="Book Antiqua"/>
                <w:sz w:val="24"/>
                <w:szCs w:val="24"/>
                <w:lang w:val="en-GB"/>
              </w:rPr>
              <w:t>/</w:t>
            </w:r>
            <w:r w:rsidR="005B7AD4">
              <w:rPr>
                <w:rFonts w:ascii="Book Antiqua" w:hAnsi="Book Antiqua"/>
                <w:sz w:val="24"/>
                <w:szCs w:val="24"/>
                <w:lang w:val="en-GB"/>
              </w:rPr>
              <w:t>9799211471</w:t>
            </w:r>
          </w:p>
          <w:p w14:paraId="7776CE86" w14:textId="0624A41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r w:rsidR="005B7AD4" w:rsidRPr="005B7AD4">
                <w:rPr>
                  <w:rStyle w:val="Hyperlink"/>
                  <w:rFonts w:ascii="Book Antiqua" w:hAnsi="Book Antiqua"/>
                  <w:lang w:val="en-GB"/>
                </w:rPr>
                <w:t xml:space="preserve">rahul.prasad </w:t>
              </w:r>
              <w:r w:rsidR="00A8250F" w:rsidRPr="008B7C2D">
                <w:rPr>
                  <w:rStyle w:val="Hyperlink"/>
                  <w:rFonts w:ascii="Book Antiqua" w:hAnsi="Book Antiqua"/>
                  <w:lang w:val="en-GB"/>
                </w:rPr>
                <w:t>@powergrid.in</w:t>
              </w:r>
            </w:hyperlink>
            <w:r w:rsidR="00A8250F">
              <w:rPr>
                <w:rFonts w:ascii="Book Antiqua" w:hAnsi="Book Antiqua"/>
                <w:lang w:val="en-GB"/>
              </w:rPr>
              <w:t xml:space="preserve">; </w:t>
            </w:r>
            <w:hyperlink r:id="rId9" w:history="1">
              <w:r w:rsidR="005B7AD4" w:rsidRPr="00CA20A1">
                <w:rPr>
                  <w:rStyle w:val="Hyperlink"/>
                </w:rPr>
                <w:t xml:space="preserve"> </w:t>
              </w:r>
              <w:r w:rsidR="005B7AD4"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02224A35"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DB2276" w:rsidRPr="00DB2276">
              <w:rPr>
                <w:rFonts w:ascii="Book Antiqua" w:hAnsi="Book Antiqua" w:cs="Arial"/>
                <w:b/>
                <w:bCs/>
              </w:rPr>
              <w:t xml:space="preserve">Transmission scheme for evacuation of power from </w:t>
            </w:r>
            <w:proofErr w:type="spellStart"/>
            <w:r w:rsidR="00DB2276" w:rsidRPr="00DB2276">
              <w:rPr>
                <w:rFonts w:ascii="Book Antiqua" w:hAnsi="Book Antiqua" w:cs="Arial"/>
                <w:b/>
                <w:bCs/>
              </w:rPr>
              <w:t>Ratle</w:t>
            </w:r>
            <w:proofErr w:type="spellEnd"/>
            <w:r w:rsidR="00DB2276" w:rsidRPr="00DB2276">
              <w:rPr>
                <w:rFonts w:ascii="Book Antiqua" w:hAnsi="Book Antiqua" w:cs="Arial"/>
                <w:b/>
                <w:bCs/>
              </w:rPr>
              <w:t xml:space="preserve"> HEP (850 MW) &amp; Kiru HEP (624 MW): Part-A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00242E">
              <w:rPr>
                <w:rFonts w:ascii="Book Antiqua" w:hAnsi="Book Antiqua" w:cs="Arial"/>
                <w:b/>
                <w:bCs/>
                <w:sz w:val="22"/>
                <w:szCs w:val="22"/>
              </w:rPr>
              <w:t xml:space="preserve">Spec. No. </w:t>
            </w:r>
            <w:r w:rsidR="0000242E" w:rsidRPr="0000242E">
              <w:rPr>
                <w:rFonts w:ascii="Book Antiqua" w:hAnsi="Book Antiqua" w:cs="Arial"/>
                <w:b/>
                <w:bCs/>
                <w:sz w:val="22"/>
                <w:szCs w:val="22"/>
              </w:rPr>
              <w:t>CTUIL/IE/2025-26/75</w:t>
            </w:r>
            <w:r w:rsidR="003559E6">
              <w:rPr>
                <w:rFonts w:ascii="Book Antiqua" w:hAnsi="Book Antiqua" w:cs="Arial"/>
                <w:b/>
                <w:bCs/>
                <w:sz w:val="22"/>
                <w:szCs w:val="22"/>
              </w:rPr>
              <w:t>/R1</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63F27B4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 xml:space="preserve">Rahul </w:t>
            </w:r>
            <w:r w:rsidR="00796557" w:rsidRPr="00240509">
              <w:rPr>
                <w:rFonts w:ascii="Book Antiqua" w:hAnsi="Book Antiqua"/>
                <w:sz w:val="24"/>
                <w:szCs w:val="24"/>
                <w:lang w:val="en-GB"/>
              </w:rPr>
              <w:t>(Manager, C&amp;M-CTUIL /</w:t>
            </w:r>
            <w:r w:rsidR="00796557">
              <w:rPr>
                <w:rFonts w:ascii="Book Antiqua" w:hAnsi="Book Antiqua"/>
                <w:sz w:val="24"/>
                <w:szCs w:val="24"/>
                <w:lang w:val="en-GB"/>
              </w:rPr>
              <w:t xml:space="preserve">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00796557" w:rsidRPr="00240509">
              <w:rPr>
                <w:rFonts w:ascii="Book Antiqua" w:hAnsi="Book Antiqua"/>
                <w:sz w:val="24"/>
                <w:szCs w:val="24"/>
                <w:lang w:val="en-GB"/>
              </w:rPr>
              <w:t xml:space="preserve"> (</w:t>
            </w:r>
            <w:r w:rsidR="00796557">
              <w:rPr>
                <w:rFonts w:ascii="Book Antiqua" w:hAnsi="Book Antiqua"/>
                <w:sz w:val="24"/>
                <w:szCs w:val="24"/>
                <w:lang w:val="en-GB"/>
              </w:rPr>
              <w:t>Engineer</w:t>
            </w:r>
            <w:r w:rsidR="00796557"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1D2F855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1013D0" w:rsidRPr="00240509">
              <w:rPr>
                <w:rFonts w:ascii="Book Antiqua" w:hAnsi="Book Antiqua"/>
                <w:sz w:val="24"/>
                <w:szCs w:val="24"/>
                <w:lang w:val="en-GB"/>
              </w:rPr>
              <w:t>9205472328</w:t>
            </w:r>
            <w:r w:rsidR="00526DC1">
              <w:rPr>
                <w:rFonts w:ascii="Book Antiqua" w:hAnsi="Book Antiqua"/>
                <w:sz w:val="24"/>
                <w:szCs w:val="24"/>
                <w:lang w:val="en-GB"/>
              </w:rPr>
              <w:t>/</w:t>
            </w:r>
            <w:r w:rsidR="001013D0">
              <w:rPr>
                <w:rFonts w:ascii="Book Antiqua" w:hAnsi="Book Antiqua"/>
                <w:sz w:val="24"/>
                <w:szCs w:val="24"/>
                <w:lang w:val="en-GB"/>
              </w:rPr>
              <w:t>9799211471</w:t>
            </w:r>
          </w:p>
          <w:p w14:paraId="2C740FEA" w14:textId="433D2429"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5D38FE" w:rsidRPr="00CA20A1">
                <w:rPr>
                  <w:rStyle w:val="Hyperlink"/>
                </w:rPr>
                <w:t xml:space="preserve"> </w:t>
              </w:r>
              <w:r w:rsidR="005D38FE" w:rsidRPr="00CA20A1">
                <w:rPr>
                  <w:rStyle w:val="Hyperlink"/>
                  <w:rFonts w:ascii="Book Antiqua" w:hAnsi="Book Antiqua"/>
                  <w:lang w:val="en-GB"/>
                </w:rPr>
                <w:t>rahul.prasad@powergrid.in</w:t>
              </w:r>
            </w:hyperlink>
            <w:r w:rsidR="00526DC1">
              <w:rPr>
                <w:rFonts w:ascii="Book Antiqua" w:hAnsi="Book Antiqua"/>
                <w:lang w:val="en-GB"/>
              </w:rPr>
              <w:t xml:space="preserve">; </w:t>
            </w:r>
            <w:hyperlink r:id="rId11" w:history="1">
              <w:r w:rsidR="001013D0" w:rsidRPr="00CA20A1">
                <w:rPr>
                  <w:rStyle w:val="Hyperlink"/>
                </w:rPr>
                <w:t xml:space="preserve"> </w:t>
              </w:r>
              <w:r w:rsidR="001013D0"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777A7D95"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2F3AD9">
              <w:rPr>
                <w:rFonts w:ascii="Book Antiqua" w:hAnsi="Book Antiqua" w:cs="Arial"/>
                <w:b/>
                <w:bCs/>
                <w:color w:val="0070C0"/>
                <w:lang w:val="en-GB"/>
              </w:rPr>
              <w:t>05</w:t>
            </w:r>
            <w:r w:rsidR="0000242E">
              <w:rPr>
                <w:rFonts w:ascii="Book Antiqua" w:hAnsi="Book Antiqua" w:cs="Arial"/>
                <w:b/>
                <w:bCs/>
                <w:color w:val="0070C0"/>
                <w:lang w:val="en-GB"/>
              </w:rPr>
              <w:t>.</w:t>
            </w:r>
            <w:r w:rsidR="009F1BBE">
              <w:rPr>
                <w:rFonts w:ascii="Book Antiqua" w:hAnsi="Book Antiqua" w:cs="Arial"/>
                <w:b/>
                <w:bCs/>
                <w:color w:val="0070C0"/>
                <w:lang w:val="en-GB"/>
              </w:rPr>
              <w:t>1</w:t>
            </w:r>
            <w:r w:rsidR="002F3AD9">
              <w:rPr>
                <w:rFonts w:ascii="Book Antiqua" w:hAnsi="Book Antiqua" w:cs="Arial"/>
                <w:b/>
                <w:bCs/>
                <w:color w:val="0070C0"/>
                <w:lang w:val="en-GB"/>
              </w:rPr>
              <w:t>2</w:t>
            </w:r>
            <w:r w:rsidR="00D66D6C" w:rsidRPr="008E4BE3">
              <w:rPr>
                <w:rFonts w:ascii="Book Antiqua" w:hAnsi="Book Antiqua" w:cs="Arial"/>
                <w:b/>
                <w:bCs/>
                <w:color w:val="0070C0"/>
                <w:lang w:val="en-GB"/>
              </w:rPr>
              <w:t>.202</w:t>
            </w:r>
            <w:r w:rsidR="001013D0">
              <w:rPr>
                <w:rFonts w:ascii="Book Antiqua" w:hAnsi="Book Antiqua" w:cs="Arial"/>
                <w:b/>
                <w:bCs/>
                <w:color w:val="0070C0"/>
                <w:lang w:val="en-GB"/>
              </w:rPr>
              <w:t>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31F0F23E" w:rsidR="005044F1" w:rsidRDefault="001F6824" w:rsidP="00655458">
                  <w:pPr>
                    <w:jc w:val="both"/>
                    <w:rPr>
                      <w:rFonts w:ascii="Book Antiqua" w:hAnsi="Book Antiqua" w:cs="Arial"/>
                      <w:b/>
                      <w:bCs/>
                      <w:sz w:val="22"/>
                      <w:szCs w:val="22"/>
                    </w:rPr>
                  </w:pPr>
                  <w:r w:rsidRPr="001F6824">
                    <w:rPr>
                      <w:rFonts w:ascii="Book Antiqua" w:hAnsi="Book Antiqua" w:cs="Arial"/>
                      <w:b/>
                      <w:bCs/>
                      <w:sz w:val="22"/>
                      <w:szCs w:val="22"/>
                    </w:rPr>
                    <w:t xml:space="preserve">Appointment of Independent Engineer for “Transmission scheme for evacuation of power from </w:t>
                  </w:r>
                  <w:proofErr w:type="spellStart"/>
                  <w:r w:rsidRPr="001F6824">
                    <w:rPr>
                      <w:rFonts w:ascii="Book Antiqua" w:hAnsi="Book Antiqua" w:cs="Arial"/>
                      <w:b/>
                      <w:bCs/>
                      <w:sz w:val="22"/>
                      <w:szCs w:val="22"/>
                    </w:rPr>
                    <w:t>Ratle</w:t>
                  </w:r>
                  <w:proofErr w:type="spellEnd"/>
                  <w:r w:rsidRPr="001F6824">
                    <w:rPr>
                      <w:rFonts w:ascii="Book Antiqua" w:hAnsi="Book Antiqua" w:cs="Arial"/>
                      <w:b/>
                      <w:bCs/>
                      <w:sz w:val="22"/>
                      <w:szCs w:val="22"/>
                    </w:rPr>
                    <w:t xml:space="preserve"> HEP (850 MW) &amp; Kiru HEP (624 MW): Part-A”</w:t>
                  </w:r>
                  <w:r w:rsidR="009C4ACD" w:rsidRPr="005F02ED">
                    <w:rPr>
                      <w:rFonts w:ascii="Book Antiqua" w:hAnsi="Book Antiqua" w:cs="Arial"/>
                      <w:b/>
                      <w:bCs/>
                      <w:sz w:val="22"/>
                      <w:szCs w:val="22"/>
                    </w:rPr>
                    <w:t>.</w:t>
                  </w:r>
                </w:p>
                <w:p w14:paraId="624A57F9" w14:textId="77777777" w:rsidR="001F6824" w:rsidRPr="005F02ED" w:rsidRDefault="001F6824" w:rsidP="00655458">
                  <w:pPr>
                    <w:jc w:val="both"/>
                    <w:rPr>
                      <w:rFonts w:ascii="Book Antiqua" w:hAnsi="Book Antiqua" w:cs="Arial"/>
                      <w:b/>
                      <w:bCs/>
                      <w:sz w:val="22"/>
                      <w:szCs w:val="22"/>
                    </w:rPr>
                  </w:pPr>
                </w:p>
                <w:p w14:paraId="3780D213" w14:textId="5E8A759E"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CA78FA" w:rsidRPr="00CA78FA">
                    <w:rPr>
                      <w:rFonts w:ascii="Book Antiqua" w:hAnsi="Book Antiqua" w:cs="Arial"/>
                      <w:b/>
                      <w:bCs/>
                      <w:sz w:val="22"/>
                      <w:szCs w:val="22"/>
                    </w:rPr>
                    <w:t>CTUIL/IE/2025-26/75</w:t>
                  </w:r>
                  <w:r w:rsidR="00425E37">
                    <w:rPr>
                      <w:rFonts w:ascii="Book Antiqua" w:hAnsi="Book Antiqua" w:cs="Arial"/>
                      <w:b/>
                      <w:bCs/>
                      <w:sz w:val="22"/>
                      <w:szCs w:val="22"/>
                    </w:rPr>
                    <w:t>/R1</w:t>
                  </w:r>
                  <w:r w:rsidR="00CA78FA">
                    <w:rPr>
                      <w:rFonts w:ascii="Book Antiqua" w:hAnsi="Book Antiqua" w:cs="Arial"/>
                      <w:b/>
                      <w:bCs/>
                      <w:sz w:val="22"/>
                      <w:szCs w:val="22"/>
                    </w:rPr>
                    <w:t>.</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2A343DA8" w:rsidR="0081275D" w:rsidRPr="00605A22" w:rsidRDefault="6B92539D" w:rsidP="6E844377">
                  <w:pPr>
                    <w:jc w:val="center"/>
                    <w:rPr>
                      <w:rFonts w:ascii="Book Antiqua" w:hAnsi="Book Antiqua" w:cs="Arial"/>
                      <w:b/>
                      <w:bCs/>
                      <w:i/>
                      <w:iCs/>
                      <w:color w:val="000000"/>
                      <w:lang w:val="en-GB"/>
                    </w:rPr>
                  </w:pPr>
                  <w:r w:rsidRPr="00E25CB8">
                    <w:rPr>
                      <w:rFonts w:ascii="Book Antiqua" w:hAnsi="Book Antiqua" w:cs="Arial"/>
                      <w:b/>
                      <w:bCs/>
                      <w:color w:val="000000" w:themeColor="text1"/>
                      <w:lang w:val="en-GB"/>
                    </w:rPr>
                    <w:t>INR</w:t>
                  </w:r>
                  <w:r w:rsidR="5D0FFB35" w:rsidRPr="00E25CB8">
                    <w:rPr>
                      <w:rFonts w:ascii="Book Antiqua" w:hAnsi="Book Antiqua" w:cs="Arial"/>
                      <w:b/>
                      <w:bCs/>
                      <w:color w:val="000000" w:themeColor="text1"/>
                      <w:lang w:val="en-GB"/>
                    </w:rPr>
                    <w:t xml:space="preserve"> </w:t>
                  </w:r>
                  <w:r w:rsidR="00C02543" w:rsidRPr="00E25CB8">
                    <w:rPr>
                      <w:rFonts w:ascii="Book Antiqua" w:hAnsi="Book Antiqua" w:cs="Arial"/>
                      <w:b/>
                      <w:bCs/>
                      <w:color w:val="000000" w:themeColor="text1"/>
                      <w:lang w:val="en-GB"/>
                    </w:rPr>
                    <w:t>1,</w:t>
                  </w:r>
                  <w:r w:rsidR="00E25CB8" w:rsidRPr="00E25CB8">
                    <w:rPr>
                      <w:rFonts w:ascii="Book Antiqua" w:hAnsi="Book Antiqua" w:cs="Arial"/>
                      <w:b/>
                      <w:bCs/>
                      <w:color w:val="000000" w:themeColor="text1"/>
                      <w:lang w:val="en-GB"/>
                    </w:rPr>
                    <w:t>33</w:t>
                  </w:r>
                  <w:r w:rsidR="00C02543" w:rsidRPr="00E25CB8">
                    <w:rPr>
                      <w:rFonts w:ascii="Book Antiqua" w:hAnsi="Book Antiqua" w:cs="Arial"/>
                      <w:b/>
                      <w:bCs/>
                      <w:color w:val="000000" w:themeColor="text1"/>
                      <w:lang w:val="en-GB"/>
                    </w:rPr>
                    <w:t>,</w:t>
                  </w:r>
                  <w:r w:rsidR="009D2BFA" w:rsidRPr="00E25CB8">
                    <w:rPr>
                      <w:rFonts w:ascii="Book Antiqua" w:hAnsi="Book Antiqua" w:cs="Arial"/>
                      <w:b/>
                      <w:bCs/>
                      <w:color w:val="000000" w:themeColor="text1"/>
                      <w:lang w:val="en-GB"/>
                    </w:rPr>
                    <w:t>000</w:t>
                  </w:r>
                  <w:r w:rsidR="7220E601" w:rsidRPr="00E25CB8">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6AD4E30F"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33397D">
              <w:rPr>
                <w:rStyle w:val="Hyperlink"/>
              </w:rPr>
              <w:t>12.12.2025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189C8653"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lastRenderedPageBreak/>
              <w:t>Date:</w:t>
            </w:r>
            <w:r w:rsidR="0075551B" w:rsidRPr="00F92856">
              <w:rPr>
                <w:rFonts w:ascii="Book Antiqua" w:eastAsia="Calibri" w:hAnsi="Book Antiqua" w:cs="Arial"/>
                <w:sz w:val="22"/>
                <w:szCs w:val="22"/>
              </w:rPr>
              <w:t xml:space="preserve"> </w:t>
            </w:r>
            <w:r w:rsidR="0033397D">
              <w:rPr>
                <w:rStyle w:val="Hyperlink"/>
              </w:rPr>
              <w:t>12.12.2025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096309A4"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33397D">
              <w:rPr>
                <w:rStyle w:val="Hyperlink"/>
                <w:rFonts w:ascii="Book Antiqua" w:eastAsia="Batang" w:hAnsi="Book Antiqua" w:cs="Arial"/>
                <w:b/>
                <w:bCs/>
              </w:rPr>
              <w:t>12.12.2025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53D59270" w14:textId="373319B2" w:rsidR="00BD621E" w:rsidRDefault="00BF1F06" w:rsidP="00BD621E">
                  <w:pPr>
                    <w:jc w:val="both"/>
                    <w:rPr>
                      <w:rFonts w:ascii="Book Antiqua" w:hAnsi="Book Antiqua" w:cs="Arial"/>
                      <w:b/>
                      <w:bCs/>
                      <w:sz w:val="22"/>
                      <w:szCs w:val="22"/>
                    </w:rPr>
                  </w:pPr>
                  <w:r w:rsidRPr="00BF1F06">
                    <w:rPr>
                      <w:rFonts w:ascii="Book Antiqua" w:hAnsi="Book Antiqua" w:cs="Arial"/>
                      <w:b/>
                      <w:bCs/>
                      <w:sz w:val="22"/>
                      <w:szCs w:val="22"/>
                    </w:rPr>
                    <w:t xml:space="preserve">Appointment of Independent Engineer for “Transmission scheme for evacuation of power from </w:t>
                  </w:r>
                  <w:proofErr w:type="spellStart"/>
                  <w:r w:rsidRPr="00BF1F06">
                    <w:rPr>
                      <w:rFonts w:ascii="Book Antiqua" w:hAnsi="Book Antiqua" w:cs="Arial"/>
                      <w:b/>
                      <w:bCs/>
                      <w:sz w:val="22"/>
                      <w:szCs w:val="22"/>
                    </w:rPr>
                    <w:t>Ratle</w:t>
                  </w:r>
                  <w:proofErr w:type="spellEnd"/>
                  <w:r w:rsidRPr="00BF1F06">
                    <w:rPr>
                      <w:rFonts w:ascii="Book Antiqua" w:hAnsi="Book Antiqua" w:cs="Arial"/>
                      <w:b/>
                      <w:bCs/>
                      <w:sz w:val="22"/>
                      <w:szCs w:val="22"/>
                    </w:rPr>
                    <w:t xml:space="preserve"> HEP (850 MW) &amp; Kiru HEP (624 MW): Part-A”</w:t>
                  </w:r>
                  <w:r w:rsidR="00BD621E" w:rsidRPr="005F02ED">
                    <w:rPr>
                      <w:rFonts w:ascii="Book Antiqua" w:hAnsi="Book Antiqua" w:cs="Arial"/>
                      <w:b/>
                      <w:bCs/>
                      <w:sz w:val="22"/>
                      <w:szCs w:val="22"/>
                    </w:rPr>
                    <w:t>.</w:t>
                  </w:r>
                </w:p>
                <w:p w14:paraId="0C838618" w14:textId="77777777" w:rsidR="00BF1F06" w:rsidRPr="005F02ED" w:rsidRDefault="00BF1F06" w:rsidP="00BD621E">
                  <w:pPr>
                    <w:jc w:val="both"/>
                    <w:rPr>
                      <w:rFonts w:ascii="Book Antiqua" w:hAnsi="Book Antiqua" w:cs="Arial"/>
                      <w:b/>
                      <w:bCs/>
                      <w:sz w:val="22"/>
                      <w:szCs w:val="22"/>
                    </w:rPr>
                  </w:pPr>
                </w:p>
                <w:p w14:paraId="7CF3C48D" w14:textId="7C7BC706" w:rsidR="00C343F5" w:rsidRPr="00CB6239" w:rsidRDefault="00BD621E" w:rsidP="00BD621E">
                  <w:pPr>
                    <w:jc w:val="both"/>
                    <w:rPr>
                      <w:rFonts w:ascii="Book Antiqua" w:hAnsi="Book Antiqua" w:cs="Arial"/>
                      <w:color w:val="000000"/>
                      <w:lang w:val="en-GB"/>
                    </w:rPr>
                  </w:pPr>
                  <w:r w:rsidRPr="005F02ED">
                    <w:rPr>
                      <w:rFonts w:ascii="Book Antiqua" w:hAnsi="Book Antiqua" w:cs="Arial"/>
                      <w:b/>
                      <w:bCs/>
                      <w:sz w:val="22"/>
                      <w:szCs w:val="22"/>
                    </w:rPr>
                    <w:t>Spec. No.</w:t>
                  </w:r>
                  <w:r w:rsidR="007570A5">
                    <w:rPr>
                      <w:rFonts w:ascii="Book Antiqua" w:hAnsi="Book Antiqua" w:cs="Arial"/>
                      <w:b/>
                      <w:bCs/>
                      <w:sz w:val="22"/>
                      <w:szCs w:val="22"/>
                    </w:rPr>
                    <w:t>:</w:t>
                  </w:r>
                  <w:r w:rsidRPr="005F02ED">
                    <w:rPr>
                      <w:rFonts w:ascii="Book Antiqua" w:hAnsi="Book Antiqua" w:cs="Arial"/>
                      <w:b/>
                      <w:bCs/>
                      <w:sz w:val="22"/>
                      <w:szCs w:val="22"/>
                    </w:rPr>
                    <w:t xml:space="preserve"> </w:t>
                  </w:r>
                  <w:r w:rsidR="007570A5" w:rsidRPr="007570A5">
                    <w:rPr>
                      <w:rFonts w:ascii="Book Antiqua" w:hAnsi="Book Antiqua" w:cs="Arial"/>
                      <w:b/>
                      <w:bCs/>
                      <w:sz w:val="22"/>
                      <w:szCs w:val="22"/>
                    </w:rPr>
                    <w:t>CTUIL/IE/2025-26/75</w:t>
                  </w:r>
                  <w:r w:rsidR="00A43AFE">
                    <w:rPr>
                      <w:rFonts w:ascii="Book Antiqua" w:hAnsi="Book Antiqua" w:cs="Arial"/>
                      <w:b/>
                      <w:bCs/>
                      <w:sz w:val="22"/>
                      <w:szCs w:val="22"/>
                    </w:rPr>
                    <w:t>/R1</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4BB39BFA" w:rsidR="00C343F5" w:rsidRPr="009A039A" w:rsidRDefault="00045DB9" w:rsidP="00784E3E">
                  <w:pPr>
                    <w:jc w:val="center"/>
                    <w:rPr>
                      <w:rFonts w:ascii="Book Antiqua" w:hAnsi="Book Antiqua" w:cs="Arial"/>
                      <w:color w:val="000000"/>
                      <w:lang w:val="en-GB"/>
                    </w:rPr>
                  </w:pPr>
                  <w:r w:rsidRPr="00045DB9">
                    <w:rPr>
                      <w:rFonts w:ascii="Book Antiqua" w:hAnsi="Book Antiqua" w:cs="Arial"/>
                      <w:color w:val="000000"/>
                      <w:lang w:val="en-GB"/>
                    </w:rPr>
                    <w:t>16</w:t>
                  </w:r>
                  <w:r w:rsidR="005E00C5" w:rsidRPr="00045DB9">
                    <w:rPr>
                      <w:rFonts w:ascii="Book Antiqua" w:hAnsi="Book Antiqua" w:cs="Arial"/>
                      <w:color w:val="000000"/>
                      <w:lang w:val="en-GB"/>
                    </w:rPr>
                    <w:t xml:space="preserve"> </w:t>
                  </w:r>
                  <w:r w:rsidR="00F57F61" w:rsidRPr="00045DB9">
                    <w:rPr>
                      <w:rFonts w:ascii="Book Antiqua" w:hAnsi="Book Antiqua" w:cs="Arial"/>
                      <w:color w:val="000000"/>
                      <w:lang w:val="en-GB"/>
                    </w:rPr>
                    <w:t>(</w:t>
                  </w:r>
                  <w:r w:rsidRPr="00045DB9">
                    <w:rPr>
                      <w:rFonts w:ascii="Book Antiqua" w:hAnsi="Book Antiqua" w:cs="Arial"/>
                      <w:color w:val="000000"/>
                      <w:lang w:val="en-GB"/>
                    </w:rPr>
                    <w:t>Sixteen</w:t>
                  </w:r>
                  <w:r w:rsidR="00F57F61" w:rsidRPr="00045DB9">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22551" w14:textId="77777777" w:rsidR="003E0E86" w:rsidRDefault="003E0E86">
      <w:r>
        <w:separator/>
      </w:r>
    </w:p>
  </w:endnote>
  <w:endnote w:type="continuationSeparator" w:id="0">
    <w:p w14:paraId="26655BD0" w14:textId="77777777" w:rsidR="003E0E86" w:rsidRDefault="003E0E86">
      <w:r>
        <w:continuationSeparator/>
      </w:r>
    </w:p>
  </w:endnote>
  <w:endnote w:type="continuationNotice" w:id="1">
    <w:p w14:paraId="5E48AB5E" w14:textId="77777777" w:rsidR="003E0E86" w:rsidRDefault="003E0E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61EFE" w14:textId="77777777" w:rsidR="003E0E86" w:rsidRDefault="003E0E86">
      <w:r>
        <w:separator/>
      </w:r>
    </w:p>
  </w:footnote>
  <w:footnote w:type="continuationSeparator" w:id="0">
    <w:p w14:paraId="2653E3B5" w14:textId="77777777" w:rsidR="003E0E86" w:rsidRDefault="003E0E86">
      <w:r>
        <w:continuationSeparator/>
      </w:r>
    </w:p>
  </w:footnote>
  <w:footnote w:type="continuationNotice" w:id="1">
    <w:p w14:paraId="47087773" w14:textId="77777777" w:rsidR="003E0E86" w:rsidRDefault="003E0E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1782395">
    <w:abstractNumId w:val="7"/>
  </w:num>
  <w:num w:numId="2" w16cid:durableId="1994748148">
    <w:abstractNumId w:val="14"/>
  </w:num>
  <w:num w:numId="3" w16cid:durableId="1109590402">
    <w:abstractNumId w:val="12"/>
  </w:num>
  <w:num w:numId="4" w16cid:durableId="1821069153">
    <w:abstractNumId w:val="15"/>
  </w:num>
  <w:num w:numId="5" w16cid:durableId="856188243">
    <w:abstractNumId w:val="1"/>
  </w:num>
  <w:num w:numId="6" w16cid:durableId="1964262142">
    <w:abstractNumId w:val="18"/>
  </w:num>
  <w:num w:numId="7" w16cid:durableId="2041126845">
    <w:abstractNumId w:val="17"/>
  </w:num>
  <w:num w:numId="8" w16cid:durableId="254021917">
    <w:abstractNumId w:val="8"/>
  </w:num>
  <w:num w:numId="9" w16cid:durableId="1103233134">
    <w:abstractNumId w:val="3"/>
  </w:num>
  <w:num w:numId="10" w16cid:durableId="1690839141">
    <w:abstractNumId w:val="6"/>
  </w:num>
  <w:num w:numId="11" w16cid:durableId="170146322">
    <w:abstractNumId w:val="4"/>
  </w:num>
  <w:num w:numId="12" w16cid:durableId="1480803001">
    <w:abstractNumId w:val="2"/>
  </w:num>
  <w:num w:numId="13" w16cid:durableId="13796956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66416">
    <w:abstractNumId w:val="0"/>
  </w:num>
  <w:num w:numId="15" w16cid:durableId="953557220">
    <w:abstractNumId w:val="5"/>
  </w:num>
  <w:num w:numId="16" w16cid:durableId="818182840">
    <w:abstractNumId w:val="11"/>
  </w:num>
  <w:num w:numId="17" w16cid:durableId="1044984229">
    <w:abstractNumId w:val="20"/>
  </w:num>
  <w:num w:numId="18" w16cid:durableId="1514807499">
    <w:abstractNumId w:val="21"/>
  </w:num>
  <w:num w:numId="19" w16cid:durableId="1710643604">
    <w:abstractNumId w:val="16"/>
  </w:num>
  <w:num w:numId="20" w16cid:durableId="2120826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8834169">
    <w:abstractNumId w:val="19"/>
  </w:num>
  <w:num w:numId="22" w16cid:durableId="820079430">
    <w:abstractNumId w:val="10"/>
  </w:num>
  <w:num w:numId="23" w16cid:durableId="34853132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242E"/>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45DB9"/>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4BBD"/>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1F6824"/>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AD9"/>
    <w:rsid w:val="002F3B84"/>
    <w:rsid w:val="002F525A"/>
    <w:rsid w:val="00303397"/>
    <w:rsid w:val="00303D3E"/>
    <w:rsid w:val="003053B0"/>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97D"/>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59E6"/>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0E8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9A2"/>
    <w:rsid w:val="00423B24"/>
    <w:rsid w:val="004253C8"/>
    <w:rsid w:val="0042591F"/>
    <w:rsid w:val="00425971"/>
    <w:rsid w:val="00425E37"/>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5699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2E2"/>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0A5"/>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27B4"/>
    <w:rsid w:val="007E305B"/>
    <w:rsid w:val="007E310F"/>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1BBE"/>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3AFE"/>
    <w:rsid w:val="00A46C97"/>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87747"/>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18D1"/>
    <w:rsid w:val="00BF1F06"/>
    <w:rsid w:val="00BF2C25"/>
    <w:rsid w:val="00BF461C"/>
    <w:rsid w:val="00BF5C7A"/>
    <w:rsid w:val="00BF6064"/>
    <w:rsid w:val="00BF6C8D"/>
    <w:rsid w:val="00BF6F43"/>
    <w:rsid w:val="00C00A52"/>
    <w:rsid w:val="00C01A37"/>
    <w:rsid w:val="00C020E0"/>
    <w:rsid w:val="00C02308"/>
    <w:rsid w:val="00C02543"/>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8FA"/>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6CD"/>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276"/>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0229"/>
    <w:rsid w:val="00E213D7"/>
    <w:rsid w:val="00E2265E"/>
    <w:rsid w:val="00E25CB8"/>
    <w:rsid w:val="00E26664"/>
    <w:rsid w:val="00E26819"/>
    <w:rsid w:val="00E270FF"/>
    <w:rsid w:val="00E30C26"/>
    <w:rsid w:val="00E33C7A"/>
    <w:rsid w:val="00E346E1"/>
    <w:rsid w:val="00E36297"/>
    <w:rsid w:val="00E40CFD"/>
    <w:rsid w:val="00E40EC4"/>
    <w:rsid w:val="00E421EC"/>
    <w:rsid w:val="00E4301A"/>
    <w:rsid w:val="00E43842"/>
    <w:rsid w:val="00E43BE2"/>
    <w:rsid w:val="00E44058"/>
    <w:rsid w:val="00E457FC"/>
    <w:rsid w:val="00E50A4D"/>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10C"/>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52C"/>
    <w:rsid w:val="00FB1149"/>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E4918-952A-4E94-B114-CEF1953BC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693</Words>
  <Characters>4107</Characters>
  <Application>Microsoft Office Word</Application>
  <DocSecurity>0</DocSecurity>
  <Lines>228</Lines>
  <Paragraphs>111</Paragraphs>
  <ScaleCrop>false</ScaleCrop>
  <Company>IJourneys</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Rahul . {राहुल}</cp:lastModifiedBy>
  <cp:revision>748</cp:revision>
  <cp:lastPrinted>2022-12-20T13:22:00Z</cp:lastPrinted>
  <dcterms:created xsi:type="dcterms:W3CDTF">2017-09-01T11:04:00Z</dcterms:created>
  <dcterms:modified xsi:type="dcterms:W3CDTF">2025-11-28T04:42:00Z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2025-11-18T09:19:17Z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ae913f15-4492-42b4-8781-dfe7179a6b53</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